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spacing w:line="580" w:lineRule="exact"/>
        <w:jc w:val="center"/>
        <w:rPr>
          <w:rFonts w:hint="eastAsia" w:ascii="方正小标宋简体" w:hAnsi="宋体" w:eastAsia="方正小标宋简体" w:cs="宋体"/>
          <w:bCs/>
          <w:sz w:val="44"/>
          <w:szCs w:val="44"/>
        </w:rPr>
      </w:pPr>
      <w:r>
        <w:rPr>
          <w:rFonts w:hint="eastAsia" w:ascii="宋体" w:hAnsi="宋体" w:eastAsia="宋体" w:cs="宋体"/>
          <w:b/>
          <w:bCs/>
          <w:sz w:val="44"/>
          <w:szCs w:val="44"/>
          <w:u w:val="single"/>
        </w:rPr>
        <w:t xml:space="preserve">           </w:t>
      </w:r>
      <w:r>
        <w:rPr>
          <w:rFonts w:hint="eastAsia" w:ascii="方正小标宋简体" w:hAnsi="宋体" w:eastAsia="方正小标宋简体" w:cs="宋体"/>
          <w:bCs/>
          <w:sz w:val="44"/>
          <w:szCs w:val="44"/>
        </w:rPr>
        <w:t xml:space="preserve"> 市（区）生物安全备案情况汇总表</w:t>
      </w:r>
    </w:p>
    <w:p>
      <w:pPr>
        <w:spacing w:line="580" w:lineRule="exact"/>
        <w:jc w:val="center"/>
        <w:rPr>
          <w:rFonts w:ascii="宋体" w:hAnsi="宋体" w:eastAsia="仿宋_GB2312" w:cs="宋体"/>
          <w:b/>
          <w:bCs/>
          <w:sz w:val="44"/>
          <w:szCs w:val="44"/>
        </w:rPr>
      </w:pPr>
    </w:p>
    <w:tbl>
      <w:tblPr>
        <w:tblStyle w:val="8"/>
        <w:tblW w:w="13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939"/>
        <w:gridCol w:w="810"/>
        <w:gridCol w:w="939"/>
        <w:gridCol w:w="939"/>
        <w:gridCol w:w="939"/>
        <w:gridCol w:w="939"/>
        <w:gridCol w:w="939"/>
        <w:gridCol w:w="939"/>
        <w:gridCol w:w="939"/>
        <w:gridCol w:w="939"/>
        <w:gridCol w:w="93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jc w:val="center"/>
        </w:trPr>
        <w:tc>
          <w:tcPr>
            <w:tcW w:w="2310" w:type="dxa"/>
            <w:tcBorders>
              <w:tl2br w:val="single" w:color="auto" w:sz="4" w:space="0"/>
            </w:tcBorders>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w:t>
            </w:r>
          </w:p>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隶属系统</w:t>
            </w:r>
          </w:p>
          <w:p>
            <w:pPr>
              <w:spacing w:line="58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实验室</w:t>
            </w:r>
          </w:p>
          <w:p>
            <w:pPr>
              <w:spacing w:line="58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级别</w:t>
            </w:r>
          </w:p>
        </w:tc>
        <w:tc>
          <w:tcPr>
            <w:tcW w:w="1749" w:type="dxa"/>
            <w:gridSpan w:val="2"/>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医疗系统</w:t>
            </w:r>
          </w:p>
        </w:tc>
        <w:tc>
          <w:tcPr>
            <w:tcW w:w="1878" w:type="dxa"/>
            <w:gridSpan w:val="2"/>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疾控系统</w:t>
            </w:r>
          </w:p>
        </w:tc>
        <w:tc>
          <w:tcPr>
            <w:tcW w:w="1878" w:type="dxa"/>
            <w:gridSpan w:val="2"/>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科研系统</w:t>
            </w:r>
          </w:p>
        </w:tc>
        <w:tc>
          <w:tcPr>
            <w:tcW w:w="1878" w:type="dxa"/>
            <w:gridSpan w:val="2"/>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教育系统</w:t>
            </w:r>
          </w:p>
        </w:tc>
        <w:tc>
          <w:tcPr>
            <w:tcW w:w="1878" w:type="dxa"/>
            <w:gridSpan w:val="2"/>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出入境系统</w:t>
            </w:r>
          </w:p>
        </w:tc>
        <w:tc>
          <w:tcPr>
            <w:tcW w:w="1883" w:type="dxa"/>
            <w:gridSpan w:val="2"/>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各类企业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10"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备案</w:t>
            </w:r>
          </w:p>
        </w:tc>
        <w:tc>
          <w:tcPr>
            <w:tcW w:w="939"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有</w:t>
            </w:r>
          </w:p>
        </w:tc>
        <w:tc>
          <w:tcPr>
            <w:tcW w:w="810"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无</w:t>
            </w:r>
          </w:p>
        </w:tc>
        <w:tc>
          <w:tcPr>
            <w:tcW w:w="939"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有</w:t>
            </w:r>
          </w:p>
        </w:tc>
        <w:tc>
          <w:tcPr>
            <w:tcW w:w="939"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无</w:t>
            </w:r>
          </w:p>
        </w:tc>
        <w:tc>
          <w:tcPr>
            <w:tcW w:w="939"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有</w:t>
            </w:r>
          </w:p>
        </w:tc>
        <w:tc>
          <w:tcPr>
            <w:tcW w:w="939"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无</w:t>
            </w:r>
          </w:p>
        </w:tc>
        <w:tc>
          <w:tcPr>
            <w:tcW w:w="939"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有</w:t>
            </w:r>
          </w:p>
        </w:tc>
        <w:tc>
          <w:tcPr>
            <w:tcW w:w="939"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无</w:t>
            </w:r>
          </w:p>
        </w:tc>
        <w:tc>
          <w:tcPr>
            <w:tcW w:w="939"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有</w:t>
            </w:r>
          </w:p>
        </w:tc>
        <w:tc>
          <w:tcPr>
            <w:tcW w:w="939"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无</w:t>
            </w:r>
          </w:p>
        </w:tc>
        <w:tc>
          <w:tcPr>
            <w:tcW w:w="939"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有</w:t>
            </w:r>
          </w:p>
        </w:tc>
        <w:tc>
          <w:tcPr>
            <w:tcW w:w="944" w:type="dxa"/>
            <w:vAlign w:val="center"/>
          </w:tcPr>
          <w:p>
            <w:pPr>
              <w:spacing w:line="58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10" w:type="dxa"/>
            <w:vAlign w:val="center"/>
          </w:tcPr>
          <w:p>
            <w:pPr>
              <w:spacing w:line="580" w:lineRule="exact"/>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BSL-1</w:t>
            </w:r>
          </w:p>
        </w:tc>
        <w:tc>
          <w:tcPr>
            <w:tcW w:w="939" w:type="dxa"/>
            <w:vAlign w:val="center"/>
          </w:tcPr>
          <w:p>
            <w:pPr>
              <w:spacing w:line="580" w:lineRule="exact"/>
              <w:jc w:val="center"/>
              <w:rPr>
                <w:rFonts w:ascii="仿宋_GB2312" w:hAnsi="仿宋_GB2312" w:eastAsia="仿宋_GB2312" w:cs="仿宋_GB2312"/>
                <w:sz w:val="28"/>
                <w:szCs w:val="28"/>
              </w:rPr>
            </w:pPr>
          </w:p>
        </w:tc>
        <w:tc>
          <w:tcPr>
            <w:tcW w:w="810"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44" w:type="dxa"/>
            <w:vAlign w:val="center"/>
          </w:tcPr>
          <w:p>
            <w:pPr>
              <w:spacing w:line="58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10" w:type="dxa"/>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BSL-2</w:t>
            </w:r>
          </w:p>
        </w:tc>
        <w:tc>
          <w:tcPr>
            <w:tcW w:w="939" w:type="dxa"/>
            <w:vAlign w:val="center"/>
          </w:tcPr>
          <w:p>
            <w:pPr>
              <w:spacing w:line="580" w:lineRule="exact"/>
              <w:jc w:val="center"/>
              <w:rPr>
                <w:rFonts w:ascii="仿宋_GB2312" w:hAnsi="仿宋_GB2312" w:eastAsia="仿宋_GB2312" w:cs="仿宋_GB2312"/>
                <w:sz w:val="28"/>
                <w:szCs w:val="28"/>
              </w:rPr>
            </w:pPr>
          </w:p>
        </w:tc>
        <w:tc>
          <w:tcPr>
            <w:tcW w:w="810"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39" w:type="dxa"/>
            <w:vAlign w:val="center"/>
          </w:tcPr>
          <w:p>
            <w:pPr>
              <w:spacing w:line="580" w:lineRule="exact"/>
              <w:jc w:val="center"/>
              <w:rPr>
                <w:rFonts w:ascii="仿宋_GB2312" w:hAnsi="仿宋_GB2312" w:eastAsia="仿宋_GB2312" w:cs="仿宋_GB2312"/>
                <w:sz w:val="28"/>
                <w:szCs w:val="28"/>
              </w:rPr>
            </w:pPr>
          </w:p>
        </w:tc>
        <w:tc>
          <w:tcPr>
            <w:tcW w:w="944" w:type="dxa"/>
            <w:vAlign w:val="center"/>
          </w:tcPr>
          <w:p>
            <w:pPr>
              <w:spacing w:line="58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310" w:type="dxa"/>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1749" w:type="dxa"/>
            <w:gridSpan w:val="2"/>
            <w:vAlign w:val="center"/>
          </w:tcPr>
          <w:p>
            <w:pPr>
              <w:spacing w:line="580" w:lineRule="exact"/>
              <w:jc w:val="center"/>
              <w:rPr>
                <w:rFonts w:ascii="仿宋_GB2312" w:hAnsi="仿宋_GB2312" w:eastAsia="仿宋_GB2312" w:cs="仿宋_GB2312"/>
                <w:sz w:val="28"/>
                <w:szCs w:val="28"/>
              </w:rPr>
            </w:pPr>
          </w:p>
        </w:tc>
        <w:tc>
          <w:tcPr>
            <w:tcW w:w="1878" w:type="dxa"/>
            <w:gridSpan w:val="2"/>
            <w:vAlign w:val="center"/>
          </w:tcPr>
          <w:p>
            <w:pPr>
              <w:spacing w:line="580" w:lineRule="exact"/>
              <w:jc w:val="center"/>
              <w:rPr>
                <w:rFonts w:ascii="仿宋_GB2312" w:hAnsi="仿宋_GB2312" w:eastAsia="仿宋_GB2312" w:cs="仿宋_GB2312"/>
                <w:sz w:val="28"/>
                <w:szCs w:val="28"/>
              </w:rPr>
            </w:pPr>
          </w:p>
        </w:tc>
        <w:tc>
          <w:tcPr>
            <w:tcW w:w="1878" w:type="dxa"/>
            <w:gridSpan w:val="2"/>
            <w:vAlign w:val="center"/>
          </w:tcPr>
          <w:p>
            <w:pPr>
              <w:spacing w:line="580" w:lineRule="exact"/>
              <w:jc w:val="center"/>
              <w:rPr>
                <w:rFonts w:ascii="仿宋_GB2312" w:hAnsi="仿宋_GB2312" w:eastAsia="仿宋_GB2312" w:cs="仿宋_GB2312"/>
                <w:sz w:val="28"/>
                <w:szCs w:val="28"/>
              </w:rPr>
            </w:pPr>
          </w:p>
        </w:tc>
        <w:tc>
          <w:tcPr>
            <w:tcW w:w="1878" w:type="dxa"/>
            <w:gridSpan w:val="2"/>
            <w:vAlign w:val="center"/>
          </w:tcPr>
          <w:p>
            <w:pPr>
              <w:spacing w:line="580" w:lineRule="exact"/>
              <w:jc w:val="center"/>
              <w:rPr>
                <w:rFonts w:ascii="仿宋_GB2312" w:hAnsi="仿宋_GB2312" w:eastAsia="仿宋_GB2312" w:cs="仿宋_GB2312"/>
                <w:sz w:val="28"/>
                <w:szCs w:val="28"/>
              </w:rPr>
            </w:pPr>
          </w:p>
        </w:tc>
        <w:tc>
          <w:tcPr>
            <w:tcW w:w="1878" w:type="dxa"/>
            <w:gridSpan w:val="2"/>
            <w:vAlign w:val="center"/>
          </w:tcPr>
          <w:p>
            <w:pPr>
              <w:spacing w:line="580" w:lineRule="exact"/>
              <w:jc w:val="center"/>
              <w:rPr>
                <w:rFonts w:ascii="仿宋_GB2312" w:hAnsi="仿宋_GB2312" w:eastAsia="仿宋_GB2312" w:cs="仿宋_GB2312"/>
                <w:sz w:val="28"/>
                <w:szCs w:val="28"/>
              </w:rPr>
            </w:pPr>
          </w:p>
        </w:tc>
        <w:tc>
          <w:tcPr>
            <w:tcW w:w="1883" w:type="dxa"/>
            <w:gridSpan w:val="2"/>
            <w:vAlign w:val="center"/>
          </w:tcPr>
          <w:p>
            <w:pPr>
              <w:spacing w:line="580" w:lineRule="exact"/>
              <w:jc w:val="center"/>
              <w:rPr>
                <w:rFonts w:ascii="仿宋_GB2312" w:hAnsi="仿宋_GB2312" w:eastAsia="仿宋_GB2312" w:cs="仿宋_GB2312"/>
                <w:sz w:val="28"/>
                <w:szCs w:val="28"/>
              </w:rPr>
            </w:pPr>
          </w:p>
        </w:tc>
      </w:tr>
    </w:tbl>
    <w:p>
      <w:pPr>
        <w:spacing w:line="58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注：1. 一个法人单位内设有多个实验区域的，如相互之间物理隔开并各自有独立的入口门，则按照多个实验室统计；</w:t>
      </w:r>
    </w:p>
    <w:p>
      <w:pPr>
        <w:spacing w:line="580" w:lineRule="exact"/>
        <w:ind w:firstLine="57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 一个实验室若存在两种生物安全级别的实验室区域请按生物安全级别较高者统计，勿重复统计;</w:t>
      </w:r>
    </w:p>
    <w:p>
      <w:pPr>
        <w:spacing w:line="580" w:lineRule="exact"/>
        <w:ind w:firstLine="570"/>
        <w:jc w:val="left"/>
        <w:rPr>
          <w:rFonts w:hint="eastAsia" w:ascii="Times New Roman" w:hAnsi="Times New Roman" w:eastAsia="仿宋_GB2312" w:cs="仿宋_GB2312"/>
          <w:color w:val="FF0000"/>
          <w:sz w:val="28"/>
          <w:szCs w:val="28"/>
        </w:rPr>
        <w:sectPr>
          <w:headerReference r:id="rId3" w:type="default"/>
          <w:footerReference r:id="rId4" w:type="default"/>
          <w:footerReference r:id="rId5" w:type="even"/>
          <w:pgSz w:w="16838" w:h="11906" w:orient="landscape"/>
          <w:pgMar w:top="1440" w:right="1800" w:bottom="1440" w:left="1800" w:header="284" w:footer="284" w:gutter="0"/>
          <w:pgNumType w:fmt="numberInDash"/>
          <w:cols w:space="720" w:num="1"/>
          <w:docGrid w:type="linesAndChars" w:linePitch="435" w:charSpace="0"/>
        </w:sectPr>
      </w:pPr>
      <w:r>
        <w:rPr>
          <w:rFonts w:hint="eastAsia" w:ascii="Times New Roman" w:hAnsi="Times New Roman" w:eastAsia="仿宋_GB2312" w:cs="仿宋_GB2312"/>
          <w:sz w:val="28"/>
          <w:szCs w:val="28"/>
        </w:rPr>
        <w:t>3. 实验室备案不在有效期的，按无备案统计。</w:t>
      </w:r>
    </w:p>
    <w:p>
      <w:pPr>
        <w:spacing w:line="580" w:lineRule="exact"/>
        <w:rPr>
          <w:rFonts w:hint="eastAsia"/>
        </w:rPr>
      </w:pPr>
    </w:p>
    <w:sectPr>
      <w:pgSz w:w="11906" w:h="16838"/>
      <w:pgMar w:top="1440" w:right="1559" w:bottom="1440" w:left="1559" w:header="284" w:footer="284"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Pr>
    <w:r>
      <w:fldChar w:fldCharType="begin"/>
    </w:r>
    <w: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0E2A35"/>
    <w:rsid w:val="00291479"/>
    <w:rsid w:val="002E6AEB"/>
    <w:rsid w:val="002F5411"/>
    <w:rsid w:val="003D679C"/>
    <w:rsid w:val="004E5091"/>
    <w:rsid w:val="00556DDA"/>
    <w:rsid w:val="005A65AC"/>
    <w:rsid w:val="005C3691"/>
    <w:rsid w:val="00793E9C"/>
    <w:rsid w:val="00797A41"/>
    <w:rsid w:val="007E72B3"/>
    <w:rsid w:val="00800EAB"/>
    <w:rsid w:val="009D0032"/>
    <w:rsid w:val="00A2042D"/>
    <w:rsid w:val="00A32379"/>
    <w:rsid w:val="00A4754F"/>
    <w:rsid w:val="00A503C8"/>
    <w:rsid w:val="00B04F44"/>
    <w:rsid w:val="00B227E0"/>
    <w:rsid w:val="00B23577"/>
    <w:rsid w:val="00C51B9B"/>
    <w:rsid w:val="00CF0225"/>
    <w:rsid w:val="00D23579"/>
    <w:rsid w:val="00D42FC9"/>
    <w:rsid w:val="00E21BC8"/>
    <w:rsid w:val="00E36221"/>
    <w:rsid w:val="00F53280"/>
    <w:rsid w:val="00FE4605"/>
    <w:rsid w:val="2647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eastAsia="黑体"/>
      <w:b/>
      <w:bCs/>
      <w:kern w:val="44"/>
      <w:sz w:val="32"/>
      <w:szCs w:val="44"/>
      <w:lang w:val="en-US" w:eastAsia="zh-CN"/>
    </w:rPr>
  </w:style>
  <w:style w:type="character" w:default="1" w:styleId="7">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rPr>
  </w:style>
  <w:style w:type="paragraph" w:styleId="6">
    <w:name w:val="Subtitle"/>
    <w:basedOn w:val="1"/>
    <w:next w:val="1"/>
    <w:link w:val="13"/>
    <w:qFormat/>
    <w:uiPriority w:val="0"/>
    <w:pPr>
      <w:spacing w:before="240" w:after="60" w:line="312" w:lineRule="auto"/>
      <w:outlineLvl w:val="1"/>
    </w:pPr>
    <w:rPr>
      <w:rFonts w:ascii="Cambria" w:hAnsi="Cambria" w:eastAsia="楷体_GB2312"/>
      <w:b/>
      <w:bCs/>
      <w:kern w:val="28"/>
      <w:sz w:val="32"/>
      <w:szCs w:val="32"/>
    </w:rPr>
  </w:style>
  <w:style w:type="character" w:customStyle="1" w:styleId="9">
    <w:name w:val="标题 1 Char"/>
    <w:basedOn w:val="7"/>
    <w:link w:val="2"/>
    <w:uiPriority w:val="0"/>
    <w:rPr>
      <w:rFonts w:eastAsia="黑体"/>
      <w:b/>
      <w:bCs/>
      <w:kern w:val="44"/>
      <w:sz w:val="32"/>
      <w:szCs w:val="44"/>
      <w:lang w:val="en-US" w:eastAsia="zh-CN"/>
    </w:rPr>
  </w:style>
  <w:style w:type="character" w:customStyle="1" w:styleId="10">
    <w:name w:val="页脚 Char"/>
    <w:link w:val="4"/>
    <w:uiPriority w:val="0"/>
    <w:rPr>
      <w:rFonts w:ascii="等线" w:hAnsi="等线"/>
      <w:kern w:val="2"/>
      <w:sz w:val="18"/>
      <w:szCs w:val="22"/>
    </w:rPr>
  </w:style>
  <w:style w:type="character" w:customStyle="1" w:styleId="11">
    <w:name w:val="页眉 Char"/>
    <w:link w:val="5"/>
    <w:uiPriority w:val="0"/>
    <w:rPr>
      <w:rFonts w:ascii="等线" w:hAnsi="等线"/>
      <w:kern w:val="2"/>
      <w:sz w:val="18"/>
      <w:szCs w:val="22"/>
    </w:rPr>
  </w:style>
  <w:style w:type="character" w:customStyle="1" w:styleId="12">
    <w:name w:val="批注框文本 Char"/>
    <w:link w:val="3"/>
    <w:uiPriority w:val="0"/>
    <w:rPr>
      <w:kern w:val="2"/>
      <w:sz w:val="18"/>
      <w:szCs w:val="18"/>
    </w:rPr>
  </w:style>
  <w:style w:type="character" w:customStyle="1" w:styleId="13">
    <w:name w:val="副标题 Char"/>
    <w:link w:val="6"/>
    <w:uiPriority w:val="0"/>
    <w:rPr>
      <w:rFonts w:ascii="Cambria" w:hAnsi="Cambria" w:eastAsia="楷体_GB2312"/>
      <w:b/>
      <w:bCs/>
      <w:kern w:val="28"/>
      <w:sz w:val="32"/>
      <w:szCs w:val="32"/>
    </w:rPr>
  </w:style>
  <w:style w:type="character" w:customStyle="1" w:styleId="14">
    <w:name w:val="批注框文本 Char1"/>
    <w:basedOn w:val="7"/>
    <w:uiPriority w:val="0"/>
    <w:rPr>
      <w:rFonts w:ascii="等线" w:hAnsi="等线" w:eastAsia="等线"/>
      <w:kern w:val="2"/>
      <w:sz w:val="18"/>
      <w:szCs w:val="18"/>
    </w:rPr>
  </w:style>
  <w:style w:type="character" w:customStyle="1" w:styleId="15">
    <w:name w:val="table_li_text1"/>
    <w:basedOn w:val="7"/>
    <w:uiPriority w:val="0"/>
  </w:style>
  <w:style w:type="character" w:customStyle="1" w:styleId="16">
    <w:name w:val="page number1"/>
    <w:basedOn w:val="7"/>
    <w:uiPriority w:val="0"/>
  </w:style>
  <w:style w:type="character" w:customStyle="1" w:styleId="17">
    <w:name w:val="副标题 Char1"/>
    <w:basedOn w:val="7"/>
    <w:qFormat/>
    <w:uiPriority w:val="0"/>
    <w:rPr>
      <w:rFonts w:ascii="Cambria" w:hAnsi="Cambria" w:cs="黑体"/>
      <w:b/>
      <w:bCs/>
      <w:kern w:val="28"/>
      <w:sz w:val="32"/>
      <w:szCs w:val="32"/>
    </w:rPr>
  </w:style>
  <w:style w:type="paragraph" w:customStyle="1" w:styleId="18">
    <w:name w:val="List Paragraph"/>
    <w:basedOn w:val="1"/>
    <w:qFormat/>
    <w:uiPriority w:val="0"/>
    <w:pPr>
      <w:ind w:firstLine="420" w:firstLineChars="200"/>
    </w:pPr>
  </w:style>
  <w:style w:type="paragraph" w:customStyle="1" w:styleId="19">
    <w:name w:val="样式1"/>
    <w:basedOn w:val="1"/>
    <w:qFormat/>
    <w:uiPriority w:val="0"/>
    <w:rPr>
      <w:rFonts w:ascii="仿宋_GB2312" w:hAnsi="Times New Roman" w:eastAsia="仿宋_GB2312"/>
      <w:sz w:val="28"/>
      <w:szCs w:val="24"/>
    </w:rPr>
  </w:style>
  <w:style w:type="paragraph" w:customStyle="1" w:styleId="20">
    <w:name w:val="Revision"/>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2</Pages>
  <Words>42</Words>
  <Characters>245</Characters>
  <Lines>2</Lines>
  <Paragraphs>1</Paragraphs>
  <TotalTime>7</TotalTime>
  <ScaleCrop>false</ScaleCrop>
  <LinksUpToDate>false</LinksUpToDate>
  <CharactersWithSpaces>286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2018-03-15T02:17:00Z</dcterms:created>
  <dc:creator>刘桂生</dc:creator>
  <cp:lastModifiedBy>庐州月</cp:lastModifiedBy>
  <cp:lastPrinted>2018-03-12T07:02:00Z</cp:lastPrinted>
  <dcterms:modified xsi:type="dcterms:W3CDTF">2018-06-19T09:19:25Z</dcterms:modified>
  <dc:title>农业部办公厅关于开展2016年动物病原微生物实验室生物安全专项检查工作的通知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